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BC3E" w14:textId="77777777" w:rsidR="00430DF0" w:rsidRDefault="00430DF0" w:rsidP="00430DF0">
      <w:pPr>
        <w:spacing w:before="120" w:after="0" w:line="240" w:lineRule="auto"/>
        <w:jc w:val="center"/>
        <w:rPr>
          <w:rFonts w:cstheme="minorHAnsi"/>
          <w:b/>
          <w:color w:val="0F243E" w:themeColor="text2" w:themeShade="80"/>
          <w:sz w:val="72"/>
          <w:szCs w:val="72"/>
        </w:rPr>
      </w:pPr>
      <w:r>
        <w:rPr>
          <w:rFonts w:cstheme="minorHAnsi"/>
          <w:b/>
          <w:color w:val="0F243E" w:themeColor="text2" w:themeShade="80"/>
          <w:sz w:val="72"/>
          <w:szCs w:val="72"/>
        </w:rPr>
        <w:t xml:space="preserve">Patto di Integrità </w:t>
      </w:r>
    </w:p>
    <w:p w14:paraId="4CC64820" w14:textId="3208219B" w:rsidR="00430DF0" w:rsidRDefault="00430DF0" w:rsidP="00430DF0">
      <w:pPr>
        <w:spacing w:before="120" w:after="0" w:line="240" w:lineRule="auto"/>
        <w:jc w:val="center"/>
        <w:rPr>
          <w:rFonts w:cstheme="minorHAnsi"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(art. 1 co. 17 legge 190/2012</w:t>
      </w:r>
      <w:r w:rsidR="001B2D19">
        <w:rPr>
          <w:rFonts w:cstheme="minorHAnsi"/>
          <w:b/>
          <w:color w:val="0F243E" w:themeColor="text2" w:themeShade="80"/>
        </w:rPr>
        <w:t>)</w:t>
      </w:r>
    </w:p>
    <w:p w14:paraId="6DC9D6E7" w14:textId="77777777" w:rsidR="00430DF0" w:rsidRDefault="00430DF0" w:rsidP="00430DF0">
      <w:pPr>
        <w:spacing w:before="120" w:after="0" w:line="240" w:lineRule="auto"/>
        <w:jc w:val="both"/>
        <w:rPr>
          <w:rFonts w:cstheme="minorHAnsi"/>
          <w:b/>
          <w:bCs/>
          <w:color w:val="0F243E" w:themeColor="text2" w:themeShade="80"/>
        </w:rPr>
      </w:pPr>
      <w:r>
        <w:rPr>
          <w:rFonts w:cstheme="minorHAnsi"/>
          <w:b/>
          <w:bCs/>
          <w:color w:val="0F243E" w:themeColor="text2" w:themeShade="80"/>
        </w:rPr>
        <w:t>Articolo 1 - Ambito di applicazione</w:t>
      </w:r>
    </w:p>
    <w:p w14:paraId="73464F9B" w14:textId="77777777" w:rsidR="00430DF0" w:rsidRDefault="00430DF0" w:rsidP="00430DF0">
      <w:pPr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1. Il Patto di Integrità degli appalti regola i comportamenti degli operatori economici e dei dipendenti del Comune di Bottanuco nell’ambito delle procedure di affidamento e gestione degli appalti di lavori, servizi e forniture di cui al d.lgs. n. 50/2016 e </w:t>
      </w:r>
      <w:proofErr w:type="spellStart"/>
      <w:r>
        <w:rPr>
          <w:rFonts w:cstheme="minorHAnsi"/>
          <w:color w:val="0F243E" w:themeColor="text2" w:themeShade="80"/>
        </w:rPr>
        <w:t>s.m.i.</w:t>
      </w:r>
      <w:proofErr w:type="spellEnd"/>
      <w:r>
        <w:rPr>
          <w:rFonts w:cstheme="minorHAnsi"/>
          <w:color w:val="0F243E" w:themeColor="text2" w:themeShade="80"/>
        </w:rPr>
        <w:t>.</w:t>
      </w:r>
    </w:p>
    <w:p w14:paraId="6B68D887" w14:textId="77777777" w:rsidR="00430DF0" w:rsidRDefault="00430DF0" w:rsidP="00430DF0">
      <w:pPr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2. Esso stabilisce la reciproca e formale obbligazione tra le Amministrazioni aggiudicatrici e gli operatori economici individuati al comma 1, di improntare i propri comportamenti ai principi di lealtà, trasparenza e correttezza, nonché l’espresso impegno anticorruzione di non offrire, accettare o richiedere somme di denaro o qualsiasi altra ricompensa, vantaggio o beneficio.</w:t>
      </w:r>
    </w:p>
    <w:p w14:paraId="3047B08D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Nel caso l’operatore economico sia un consorzio ordinario, un raggruppamento temporaneo o altra aggregazione d’imprese, le obbligazioni del presente investono tutti i partecipanti al consorzio, al raggruppamento, all’aggregazione. </w:t>
      </w:r>
    </w:p>
    <w:p w14:paraId="494CCE4A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Articolo 2 – Soglia di gara e contratti</w:t>
      </w:r>
    </w:p>
    <w:p w14:paraId="2292C826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1. Il Patto di Integrità costituisce parte integrante dei contratti stipulati dal Comune. L’espressa accettazione dello stesso costituisce condizione di ammissione alle procedure di gara ed alle procedure negoziate di importo pari o superiore ad € 20.000,00=, nonché per l’iscrizione all’Albo/Elenco Fornitori. Tale condizione deve essere esplicitamente prevista nei bandi di gara e nelle lettere d’invito. </w:t>
      </w:r>
    </w:p>
    <w:p w14:paraId="7415166B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2. In sede di gara l’operatore economico, pena l’esclusione, dichiara di accettare ed approvare la disciplina del presente.    </w:t>
      </w:r>
    </w:p>
    <w:p w14:paraId="680A050C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Articolo 3 – Obblighi e dichiarazioni degli operatori economici nei confronti della stazione appaltante</w:t>
      </w:r>
    </w:p>
    <w:p w14:paraId="63709910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ind w:hanging="142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1. L’operatore economico si obbliga a:</w:t>
      </w:r>
    </w:p>
    <w:p w14:paraId="71ACF6BE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dichiarare di non aver influenzato in alcun modo, direttamente o indirettamente, la compilazione dei documenti di gara allo scopo di condizionare la scelta dell’aggiudicatario; </w:t>
      </w:r>
    </w:p>
    <w:p w14:paraId="1382C180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dichiarare di non aver corrisposto, né promesso di corrispondere ad alcuno, e impegnandosi a non corrispondere mai né a promettere mai di corrispondere ad alcuno direttamente o tramite terzi, denaro, regali o altre utilità per agevolare l’aggiudicazione e la gestione del successivo rapporto contrattuale;</w:t>
      </w:r>
    </w:p>
    <w:p w14:paraId="1A460353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escludere ogni forma di mediazione, o altra opera di terzi, finalizzata all’aggiudicazione ed alla successiva gestione del rapporto contrattuale;</w:t>
      </w:r>
    </w:p>
    <w:p w14:paraId="0AFA46FF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assicurare di non trovarsi in situazione di controllo o di collegamento, formale o sostanziale, con altri concorrenti e che non si è accordato, e non si accorderà, con altri partecipanti alla procedura; </w:t>
      </w:r>
    </w:p>
    <w:p w14:paraId="3E824ED2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assicurare di non aver consolidato intese o pratiche vietate restrittive o lesive della concorrenza e del mercato; </w:t>
      </w:r>
    </w:p>
    <w:p w14:paraId="2816B23F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segnalare,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 </w:t>
      </w:r>
    </w:p>
    <w:p w14:paraId="09C0DA34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informare i propri collaboratori e dipendenti degli obblighi recati dal presente e vigilare affinché detti obblighi siano osservati da tutti i collaboratori e dipendenti;</w:t>
      </w:r>
    </w:p>
    <w:p w14:paraId="467FC306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collaborare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14:paraId="2E69979F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acquisire, con le stesse modalità e gli stessi adempimenti previsti dalla normativa vigente in materia di subappalto, la preventiva autorizzazione della stazione appaltante anche per cottimi e sub-affidamenti relativi alle seguenti categorie: </w:t>
      </w:r>
    </w:p>
    <w:p w14:paraId="23EA6B75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A. trasporto di materiali a discarica per conto di terzi; </w:t>
      </w:r>
    </w:p>
    <w:p w14:paraId="73291FEC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lastRenderedPageBreak/>
        <w:t xml:space="preserve">B. trasporto, anche transfrontaliero, e smaltimento rifiuti per conto terzi; </w:t>
      </w:r>
    </w:p>
    <w:p w14:paraId="0BBA9853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C. estrazione, fornitura e trasporto terra e materiali inerti;</w:t>
      </w:r>
    </w:p>
    <w:p w14:paraId="107257BC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D. confezionamento, fornitura e trasporto di calcestruzzo e di bitume;</w:t>
      </w:r>
    </w:p>
    <w:p w14:paraId="0D9C87E3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E. noli a freddo di macchinari; </w:t>
      </w:r>
    </w:p>
    <w:p w14:paraId="4915D8F8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F. forniture di ferro lavorato;</w:t>
      </w:r>
    </w:p>
    <w:p w14:paraId="66318333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G. noli a caldo;</w:t>
      </w:r>
    </w:p>
    <w:p w14:paraId="148324F4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H. autotrasporti per conto di terzi;</w:t>
      </w:r>
    </w:p>
    <w:p w14:paraId="062D6DED" w14:textId="77777777" w:rsidR="00430DF0" w:rsidRDefault="00430DF0" w:rsidP="00430DF0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 I. guardiania dei cantieri; </w:t>
      </w:r>
    </w:p>
    <w:p w14:paraId="17DEC2F0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inserire le clausole di integrità e anticorruzione di cui sopra nei contratti di subappalto, pena il diniego dell’autorizzazione; </w:t>
      </w:r>
    </w:p>
    <w:p w14:paraId="57E9409C" w14:textId="77777777" w:rsidR="00430DF0" w:rsidRDefault="00430DF0" w:rsidP="00430DF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comunicare tempestivamente,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14:paraId="2A608F31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color w:val="0F243E" w:themeColor="text2" w:themeShade="80"/>
        </w:rPr>
      </w:pPr>
      <w:r>
        <w:rPr>
          <w:rFonts w:cstheme="minorHAnsi"/>
          <w:b/>
          <w:bCs/>
          <w:color w:val="0F243E" w:themeColor="text2" w:themeShade="80"/>
        </w:rPr>
        <w:t>Articolo 4 – Obblighi della Stazione appaltante</w:t>
      </w:r>
    </w:p>
    <w:p w14:paraId="55622191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1. La stazione appaltante si obbliga a:</w:t>
      </w:r>
    </w:p>
    <w:p w14:paraId="30AE9E8E" w14:textId="77777777" w:rsidR="00430DF0" w:rsidRDefault="00430DF0" w:rsidP="00430DF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rispettare i principi di lealtà, trasparenza e correttezza;  </w:t>
      </w:r>
    </w:p>
    <w:p w14:paraId="36057020" w14:textId="77777777" w:rsidR="00430DF0" w:rsidRDefault="00430DF0" w:rsidP="00430DF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avviare tempestivamente procedimenti disciplinari nei confronti del personale, intervenuto nella procedura di gara e nell’esecuzione del contratto, in caso di violazione di detti principi; </w:t>
      </w:r>
    </w:p>
    <w:p w14:paraId="09AB3A7E" w14:textId="77777777" w:rsidR="00430DF0" w:rsidRDefault="00430DF0" w:rsidP="00430DF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avviare tempestivamente procedimenti disciplinari nei confronti del personale nel caso di violazione del proprio “</w:t>
      </w:r>
      <w:r>
        <w:rPr>
          <w:rFonts w:cstheme="minorHAnsi"/>
          <w:i/>
          <w:color w:val="0F243E" w:themeColor="text2" w:themeShade="80"/>
        </w:rPr>
        <w:t xml:space="preserve">codice di comportamento dei dipendenti” </w:t>
      </w:r>
      <w:r>
        <w:rPr>
          <w:rFonts w:cstheme="minorHAnsi"/>
          <w:color w:val="0F243E" w:themeColor="text2" w:themeShade="80"/>
        </w:rPr>
        <w:t>e del DPR 62/2013 (</w:t>
      </w:r>
      <w:r>
        <w:rPr>
          <w:rFonts w:cstheme="minorHAnsi"/>
          <w:i/>
          <w:color w:val="0F243E" w:themeColor="text2" w:themeShade="80"/>
        </w:rPr>
        <w:t>Regolamento recante codice di comportamento dei dipendenti pubblici</w:t>
      </w:r>
      <w:r>
        <w:rPr>
          <w:rFonts w:cstheme="minorHAnsi"/>
          <w:color w:val="0F243E" w:themeColor="text2" w:themeShade="80"/>
        </w:rPr>
        <w:t xml:space="preserve">); </w:t>
      </w:r>
    </w:p>
    <w:p w14:paraId="08EFB677" w14:textId="77777777" w:rsidR="00430DF0" w:rsidRDefault="00430DF0" w:rsidP="00430DF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avvalersi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317, 318, 319, 319-bis, 319-ter, 319-quater, 320, 322, 322-bis, 346-bis, 353 e 353-bis;</w:t>
      </w:r>
    </w:p>
    <w:p w14:paraId="6F3799AB" w14:textId="77777777" w:rsidR="00430DF0" w:rsidRDefault="00430DF0" w:rsidP="00430DF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segnalare, senza indugio, ogni illecito all’Autorità giudiziaria;</w:t>
      </w:r>
    </w:p>
    <w:p w14:paraId="430F15EE" w14:textId="77777777" w:rsidR="00430DF0" w:rsidRDefault="00430DF0" w:rsidP="00430DF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rendere pubblici i dati riguardanti la procedura e l’aggiudicazione in esecuzione della normativa in materia di trasparenza.</w:t>
      </w:r>
    </w:p>
    <w:p w14:paraId="34C91903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color w:val="0F243E" w:themeColor="text2" w:themeShade="80"/>
        </w:rPr>
      </w:pPr>
      <w:r>
        <w:rPr>
          <w:rFonts w:cstheme="minorHAnsi"/>
          <w:b/>
          <w:bCs/>
          <w:color w:val="0F243E" w:themeColor="text2" w:themeShade="80"/>
        </w:rPr>
        <w:t>Articolo 5 – Violazione del Patto di Integrità</w:t>
      </w:r>
    </w:p>
    <w:p w14:paraId="21D161DB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1. La violazione del Patto di integrità è decretata dalla stazione appaltante a conclusione di un procedimento di verifica, nel quale è assicurata all’operatore economico la possibilità di depositare memorie difensive e controdeduzioni. </w:t>
      </w:r>
    </w:p>
    <w:p w14:paraId="78A3D942" w14:textId="77777777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2. La violazione da parte dell’operatore economico, sia quale concorrente, sia quale aggiudicatario, di uno degli impegni previsti dal presente può comportare:</w:t>
      </w:r>
    </w:p>
    <w:p w14:paraId="40D2BCDA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l’esclusione dalla gara;</w:t>
      </w:r>
    </w:p>
    <w:p w14:paraId="6FA3C50B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l’escussione della cauzione provvisoria a corredo dell'offerta;</w:t>
      </w:r>
    </w:p>
    <w:p w14:paraId="78CB2CA1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la risoluzione espressa del contratto ai sensi dell’articolo 1456 del c.c., per grave inadempimento e in danno dell'operatore economico;</w:t>
      </w:r>
    </w:p>
    <w:p w14:paraId="257C2396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l’escussione della cauzione definitiva a garanzia dell’esecuzione del contratto, impregiudicata la prova dell’esistenza di un danno maggiore;</w:t>
      </w:r>
    </w:p>
    <w:p w14:paraId="266DF827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la responsabilità per danno arrecato alla stazione appaltante nella misura del 10% del valore del contratto (se non coperto dall'incameramento della cauzione definitiva), impregiudicata la prova dell’esistenza di un danno maggiore;</w:t>
      </w:r>
    </w:p>
    <w:p w14:paraId="63D5AEA8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l’esclusione del concorrente dalle gare indette dalla stazione appaltante per un periodo non inferiore ad un anno e non superiore a cinque anni, determinato in ragione della gravità dei fatti accertati e dell'entità economica del contratto;</w:t>
      </w:r>
    </w:p>
    <w:p w14:paraId="179A4F9B" w14:textId="77777777" w:rsidR="00430DF0" w:rsidRDefault="00430DF0" w:rsidP="00430DF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la segnalazione all’Autorità nazionale anticorruzione e all’Autorità giudiziaria. </w:t>
      </w:r>
    </w:p>
    <w:p w14:paraId="15ECA85B" w14:textId="2A6D25BC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color w:val="0F243E" w:themeColor="text2" w:themeShade="80"/>
        </w:rPr>
      </w:pPr>
      <w:r>
        <w:rPr>
          <w:rFonts w:cstheme="minorHAnsi"/>
          <w:b/>
          <w:bCs/>
          <w:color w:val="0F243E" w:themeColor="text2" w:themeShade="80"/>
        </w:rPr>
        <w:lastRenderedPageBreak/>
        <w:t>Articolo 6 – Efficaci</w:t>
      </w:r>
      <w:r w:rsidR="00936CA0">
        <w:rPr>
          <w:rFonts w:cstheme="minorHAnsi"/>
          <w:b/>
          <w:bCs/>
          <w:color w:val="0F243E" w:themeColor="text2" w:themeShade="80"/>
        </w:rPr>
        <w:t>a</w:t>
      </w:r>
    </w:p>
    <w:p w14:paraId="330363A1" w14:textId="6A0D4F78" w:rsidR="00430DF0" w:rsidRDefault="00430DF0" w:rsidP="00430DF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1. Il presente vincola l’operatore economico per tutta la durata della procedura di gara e, in caso di aggiudicazione, sino al completamento, a regola d’arte, della prestazione contrattuale</w:t>
      </w:r>
      <w:r w:rsidR="005F14FF">
        <w:rPr>
          <w:rFonts w:cstheme="minorHAnsi"/>
          <w:color w:val="0F243E" w:themeColor="text2" w:themeShade="80"/>
        </w:rPr>
        <w:t xml:space="preserve">. </w:t>
      </w:r>
    </w:p>
    <w:p w14:paraId="2411F6A6" w14:textId="77777777" w:rsidR="00430DF0" w:rsidRDefault="00430DF0" w:rsidP="00430DF0">
      <w:pPr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</w:p>
    <w:p w14:paraId="0770A4E3" w14:textId="77777777" w:rsidR="00710EE0" w:rsidRDefault="00710EE0" w:rsidP="00E169A6">
      <w:pPr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 xml:space="preserve">Stazione appaltante _________________________________________ </w:t>
      </w:r>
    </w:p>
    <w:p w14:paraId="07724ECB" w14:textId="77777777" w:rsidR="00710EE0" w:rsidRDefault="00710EE0" w:rsidP="00E169A6">
      <w:pPr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</w:p>
    <w:p w14:paraId="4745694F" w14:textId="77777777" w:rsidR="00710EE0" w:rsidRDefault="00710EE0" w:rsidP="00E169A6">
      <w:pPr>
        <w:spacing w:before="120" w:after="0" w:line="240" w:lineRule="auto"/>
        <w:jc w:val="both"/>
        <w:rPr>
          <w:rFonts w:cstheme="minorHAnsi"/>
          <w:color w:val="0F243E" w:themeColor="text2" w:themeShade="80"/>
        </w:rPr>
      </w:pPr>
    </w:p>
    <w:p w14:paraId="4CE5D1F1" w14:textId="77777777" w:rsidR="00710EE0" w:rsidRPr="00E169A6" w:rsidRDefault="00710EE0" w:rsidP="00B86F61">
      <w:pPr>
        <w:spacing w:before="120" w:after="0" w:line="240" w:lineRule="auto"/>
        <w:rPr>
          <w:rFonts w:cstheme="minorHAnsi"/>
          <w:color w:val="0F243E" w:themeColor="text2" w:themeShade="80"/>
        </w:rPr>
      </w:pPr>
      <w:r>
        <w:rPr>
          <w:rFonts w:cstheme="minorHAnsi"/>
          <w:color w:val="0F243E" w:themeColor="text2" w:themeShade="80"/>
        </w:rPr>
        <w:t>Appaltatore ________________________________________________</w:t>
      </w:r>
    </w:p>
    <w:p w14:paraId="27B3E704" w14:textId="77777777" w:rsidR="00D10B9D" w:rsidRPr="00E169A6" w:rsidRDefault="00D10B9D" w:rsidP="00E169A6">
      <w:pPr>
        <w:pStyle w:val="NormaleWeb"/>
        <w:widowControl w:val="0"/>
        <w:spacing w:before="120" w:beforeAutospacing="0" w:after="0" w:afterAutospacing="0"/>
        <w:rPr>
          <w:rFonts w:asciiTheme="minorHAnsi" w:hAnsiTheme="minorHAnsi" w:cstheme="minorHAnsi"/>
          <w:color w:val="0F243E" w:themeColor="text2" w:themeShade="80"/>
          <w:sz w:val="22"/>
          <w:szCs w:val="22"/>
        </w:rPr>
      </w:pPr>
    </w:p>
    <w:p w14:paraId="3BB23D79" w14:textId="77777777" w:rsidR="00935CF9" w:rsidRPr="00E169A6" w:rsidRDefault="00935CF9" w:rsidP="00E169A6">
      <w:pPr>
        <w:spacing w:before="120" w:after="0" w:line="240" w:lineRule="auto"/>
        <w:rPr>
          <w:rFonts w:cstheme="minorHAnsi"/>
          <w:color w:val="0F243E" w:themeColor="text2" w:themeShade="80"/>
        </w:rPr>
      </w:pPr>
    </w:p>
    <w:sectPr w:rsidR="00935CF9" w:rsidRPr="00E169A6" w:rsidSect="00E9492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1C82" w14:textId="77777777" w:rsidR="00442984" w:rsidRDefault="00442984" w:rsidP="00CF6B97">
      <w:pPr>
        <w:spacing w:after="0" w:line="240" w:lineRule="auto"/>
      </w:pPr>
      <w:r>
        <w:separator/>
      </w:r>
    </w:p>
  </w:endnote>
  <w:endnote w:type="continuationSeparator" w:id="0">
    <w:p w14:paraId="62D8991C" w14:textId="77777777" w:rsidR="00442984" w:rsidRDefault="00442984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13CE696" w14:textId="77777777" w:rsidR="00CA403C" w:rsidRPr="00CF6B97" w:rsidRDefault="00CA403C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F37EC9">
          <w:rPr>
            <w:rFonts w:ascii="Arial" w:hAnsi="Arial" w:cs="Arial"/>
            <w:noProof/>
            <w:sz w:val="16"/>
            <w:szCs w:val="16"/>
          </w:rPr>
          <w:t>4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866E28E" w14:textId="77777777"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1259" w14:textId="77777777" w:rsidR="00442984" w:rsidRDefault="00442984" w:rsidP="00CF6B97">
      <w:pPr>
        <w:spacing w:after="0" w:line="240" w:lineRule="auto"/>
      </w:pPr>
      <w:r>
        <w:separator/>
      </w:r>
    </w:p>
  </w:footnote>
  <w:footnote w:type="continuationSeparator" w:id="0">
    <w:p w14:paraId="68169415" w14:textId="77777777" w:rsidR="00442984" w:rsidRDefault="00442984" w:rsidP="00CF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E78"/>
    <w:multiLevelType w:val="hybridMultilevel"/>
    <w:tmpl w:val="3AB233B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7A3A7E9E"/>
    <w:lvl w:ilvl="0" w:tplc="E5CA20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E05CD4C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763571612">
    <w:abstractNumId w:val="1"/>
  </w:num>
  <w:num w:numId="2" w16cid:durableId="1272013316">
    <w:abstractNumId w:val="5"/>
  </w:num>
  <w:num w:numId="3" w16cid:durableId="1036155634">
    <w:abstractNumId w:val="2"/>
  </w:num>
  <w:num w:numId="4" w16cid:durableId="1881935385">
    <w:abstractNumId w:val="4"/>
  </w:num>
  <w:num w:numId="5" w16cid:durableId="46149811">
    <w:abstractNumId w:val="0"/>
  </w:num>
  <w:num w:numId="6" w16cid:durableId="1411852512">
    <w:abstractNumId w:val="3"/>
  </w:num>
  <w:num w:numId="7" w16cid:durableId="269775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537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8875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D"/>
    <w:rsid w:val="00051169"/>
    <w:rsid w:val="00086240"/>
    <w:rsid w:val="000C7AE7"/>
    <w:rsid w:val="00177244"/>
    <w:rsid w:val="001A1CB3"/>
    <w:rsid w:val="001B2D19"/>
    <w:rsid w:val="002E7ADA"/>
    <w:rsid w:val="003041E4"/>
    <w:rsid w:val="00313FA6"/>
    <w:rsid w:val="00325A08"/>
    <w:rsid w:val="00353ECD"/>
    <w:rsid w:val="003633C5"/>
    <w:rsid w:val="003726FE"/>
    <w:rsid w:val="003B35BA"/>
    <w:rsid w:val="003B6F25"/>
    <w:rsid w:val="003E0D4A"/>
    <w:rsid w:val="003E60BB"/>
    <w:rsid w:val="00430DF0"/>
    <w:rsid w:val="00434E59"/>
    <w:rsid w:val="00442984"/>
    <w:rsid w:val="004546F0"/>
    <w:rsid w:val="00467BC4"/>
    <w:rsid w:val="004B3366"/>
    <w:rsid w:val="004D00A0"/>
    <w:rsid w:val="00521DF7"/>
    <w:rsid w:val="00574363"/>
    <w:rsid w:val="005D071B"/>
    <w:rsid w:val="005E6C66"/>
    <w:rsid w:val="005F14FF"/>
    <w:rsid w:val="00614964"/>
    <w:rsid w:val="0068199D"/>
    <w:rsid w:val="0068274D"/>
    <w:rsid w:val="00697B18"/>
    <w:rsid w:val="006C0050"/>
    <w:rsid w:val="006D4656"/>
    <w:rsid w:val="00703FA2"/>
    <w:rsid w:val="00710EE0"/>
    <w:rsid w:val="00732803"/>
    <w:rsid w:val="00733459"/>
    <w:rsid w:val="007807BE"/>
    <w:rsid w:val="0079511B"/>
    <w:rsid w:val="007D37A3"/>
    <w:rsid w:val="008023FE"/>
    <w:rsid w:val="0081131E"/>
    <w:rsid w:val="008334F1"/>
    <w:rsid w:val="00881BD3"/>
    <w:rsid w:val="008B495F"/>
    <w:rsid w:val="008B6CC6"/>
    <w:rsid w:val="008C5104"/>
    <w:rsid w:val="008E2010"/>
    <w:rsid w:val="008F42AF"/>
    <w:rsid w:val="009011E5"/>
    <w:rsid w:val="00935CF9"/>
    <w:rsid w:val="00936CA0"/>
    <w:rsid w:val="00943BA7"/>
    <w:rsid w:val="009D3AE9"/>
    <w:rsid w:val="00A42C4A"/>
    <w:rsid w:val="00A8592C"/>
    <w:rsid w:val="00A966DA"/>
    <w:rsid w:val="00AC5BCF"/>
    <w:rsid w:val="00AD0F7F"/>
    <w:rsid w:val="00AF0C70"/>
    <w:rsid w:val="00B57EE7"/>
    <w:rsid w:val="00B86F61"/>
    <w:rsid w:val="00B97302"/>
    <w:rsid w:val="00BA3DB0"/>
    <w:rsid w:val="00C168EA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6275E"/>
    <w:rsid w:val="00D700F7"/>
    <w:rsid w:val="00DB017A"/>
    <w:rsid w:val="00DC5E5A"/>
    <w:rsid w:val="00DD0D9C"/>
    <w:rsid w:val="00DD2319"/>
    <w:rsid w:val="00E169A6"/>
    <w:rsid w:val="00E64651"/>
    <w:rsid w:val="00E67CE9"/>
    <w:rsid w:val="00E7044B"/>
    <w:rsid w:val="00E91412"/>
    <w:rsid w:val="00E94922"/>
    <w:rsid w:val="00EA15CD"/>
    <w:rsid w:val="00EC684C"/>
    <w:rsid w:val="00ED20D7"/>
    <w:rsid w:val="00ED776D"/>
    <w:rsid w:val="00EE02BE"/>
    <w:rsid w:val="00F37EC9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C3917"/>
  <w15:docId w15:val="{DFF06EFF-3B80-4131-A922-72EBC1E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  <w:style w:type="paragraph" w:customStyle="1" w:styleId="Default">
    <w:name w:val="Default"/>
    <w:rsid w:val="00DC5E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Giusy Pagnoncelli</cp:lastModifiedBy>
  <cp:revision>3</cp:revision>
  <dcterms:created xsi:type="dcterms:W3CDTF">2020-05-26T07:48:00Z</dcterms:created>
  <dcterms:modified xsi:type="dcterms:W3CDTF">2026-01-23T12:23:00Z</dcterms:modified>
</cp:coreProperties>
</file>